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41"/>
        <w:tblW w:w="146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16"/>
        <w:gridCol w:w="2611"/>
        <w:gridCol w:w="2421"/>
        <w:gridCol w:w="2520"/>
        <w:gridCol w:w="2520"/>
        <w:gridCol w:w="2520"/>
      </w:tblGrid>
      <w:tr w:rsidR="00460B8B" w:rsidTr="00A14458">
        <w:trPr>
          <w:trHeight w:val="740"/>
          <w:tblCellSpacing w:w="20" w:type="dxa"/>
        </w:trPr>
        <w:tc>
          <w:tcPr>
            <w:tcW w:w="1956" w:type="dxa"/>
          </w:tcPr>
          <w:p w:rsidR="00460B8B" w:rsidRDefault="00460B8B" w:rsidP="00A14458">
            <w:pPr>
              <w:pStyle w:val="Heading1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 xml:space="preserve">Subject </w:t>
            </w:r>
          </w:p>
          <w:p w:rsidR="00460B8B" w:rsidRDefault="002B33CF" w:rsidP="00A14458">
            <w:r>
              <w:t>Aquatic Science</w:t>
            </w:r>
          </w:p>
        </w:tc>
        <w:tc>
          <w:tcPr>
            <w:tcW w:w="2571" w:type="dxa"/>
          </w:tcPr>
          <w:p w:rsidR="00460B8B" w:rsidRDefault="00832CBE" w:rsidP="00A14458">
            <w:pPr>
              <w:pStyle w:val="Heading1"/>
              <w:framePr w:hSpace="0" w:wrap="auto" w:hAnchor="text" w:yAlign="inline"/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381" w:type="dxa"/>
          </w:tcPr>
          <w:p w:rsidR="00460B8B" w:rsidRDefault="00832CBE" w:rsidP="00A14458">
            <w:pPr>
              <w:pStyle w:val="Heading2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480" w:type="dxa"/>
          </w:tcPr>
          <w:p w:rsidR="00460B8B" w:rsidRDefault="00832CBE" w:rsidP="00A14458">
            <w:pPr>
              <w:pStyle w:val="Heading2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480" w:type="dxa"/>
          </w:tcPr>
          <w:p w:rsidR="00460B8B" w:rsidRDefault="00832CBE" w:rsidP="00A14458">
            <w:pPr>
              <w:pStyle w:val="Heading2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460" w:type="dxa"/>
          </w:tcPr>
          <w:p w:rsidR="00460B8B" w:rsidRDefault="00832CBE" w:rsidP="00A14458">
            <w:pPr>
              <w:pStyle w:val="Heading2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</w:tr>
      <w:tr w:rsidR="00A14458" w:rsidTr="0085699B">
        <w:trPr>
          <w:trHeight w:val="3355"/>
          <w:tblCellSpacing w:w="20" w:type="dxa"/>
        </w:trPr>
        <w:tc>
          <w:tcPr>
            <w:tcW w:w="1956" w:type="dxa"/>
            <w:vAlign w:val="center"/>
          </w:tcPr>
          <w:p w:rsidR="00A14458" w:rsidRDefault="00A14458" w:rsidP="00A14458">
            <w:pPr>
              <w:pStyle w:val="Heading1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Objectives</w:t>
            </w:r>
          </w:p>
        </w:tc>
        <w:tc>
          <w:tcPr>
            <w:tcW w:w="2571" w:type="dxa"/>
          </w:tcPr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  <w:r w:rsidRPr="0049349A">
              <w:rPr>
                <w:color w:val="auto"/>
                <w:sz w:val="16"/>
                <w:szCs w:val="16"/>
              </w:rPr>
              <w:t>5(A)  TSW evaluate data over a period of time from an established aquatic environment documenting seasonal changes and the behavior of organisms; 6(B) TSW examine the interrelationships between aquatic systems and climate and weather, including El Niño and La Niña, currents, and hurricanes. 11(B</w:t>
            </w:r>
            <w:proofErr w:type="gramStart"/>
            <w:r w:rsidRPr="0049349A">
              <w:rPr>
                <w:color w:val="auto"/>
                <w:sz w:val="16"/>
                <w:szCs w:val="16"/>
              </w:rPr>
              <w:t>)TSW</w:t>
            </w:r>
            <w:proofErr w:type="gramEnd"/>
            <w:r w:rsidRPr="0049349A">
              <w:rPr>
                <w:color w:val="auto"/>
                <w:sz w:val="16"/>
                <w:szCs w:val="16"/>
              </w:rPr>
              <w:t>  evaluate the factors affecting aquatic population cycles. 12(D) TSW analyze and discuss how human activities such as fishing, transportation, dams, and recreation influence aquatic environments</w:t>
            </w:r>
          </w:p>
          <w:p w:rsidR="00A14458" w:rsidRPr="00A14458" w:rsidRDefault="00A14458" w:rsidP="00A14458">
            <w:pPr>
              <w:pStyle w:val="subparagrapha"/>
              <w:ind w:left="-6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pStyle w:val="subparagrapha"/>
              <w:ind w:left="-6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pStyle w:val="subparagrapha"/>
              <w:ind w:left="-15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381" w:type="dxa"/>
          </w:tcPr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  <w:r w:rsidRPr="0049349A">
              <w:rPr>
                <w:color w:val="auto"/>
                <w:sz w:val="16"/>
                <w:szCs w:val="16"/>
              </w:rPr>
              <w:t>5(A)  TSW evaluate data over a period of time from an established aquatic environment documenting seasonal changes and the behavior of organisms; 6(B) TSW examine the interrelationships between aquatic systems and climate and weather, including El Niño and La Niña, currents, and hurricanes. 11(B</w:t>
            </w:r>
            <w:proofErr w:type="gramStart"/>
            <w:r w:rsidRPr="0049349A">
              <w:rPr>
                <w:color w:val="auto"/>
                <w:sz w:val="16"/>
                <w:szCs w:val="16"/>
              </w:rPr>
              <w:t>)TSW</w:t>
            </w:r>
            <w:proofErr w:type="gramEnd"/>
            <w:r w:rsidRPr="0049349A">
              <w:rPr>
                <w:color w:val="auto"/>
                <w:sz w:val="16"/>
                <w:szCs w:val="16"/>
              </w:rPr>
              <w:t>  evaluate the factors affecting aquatic population cycles. 12(D) TSW analyze and discuss how human activities such as fishing, transportation, dams, and recreation influence aquatic environments</w:t>
            </w: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15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80" w:type="dxa"/>
          </w:tcPr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  <w:r w:rsidRPr="0049349A">
              <w:rPr>
                <w:color w:val="auto"/>
                <w:sz w:val="16"/>
                <w:szCs w:val="16"/>
              </w:rPr>
              <w:t>5(A)  TSW evaluate data over a period of time from an established aquatic environment documenting seasonal changes and the behavior of organisms; 6(B) TSW examine the interrelationships between aquatic systems and climate and weather, including El Niño and La Niña, currents, and hurricanes. 11(B</w:t>
            </w:r>
            <w:proofErr w:type="gramStart"/>
            <w:r w:rsidRPr="0049349A">
              <w:rPr>
                <w:color w:val="auto"/>
                <w:sz w:val="16"/>
                <w:szCs w:val="16"/>
              </w:rPr>
              <w:t>)TSW</w:t>
            </w:r>
            <w:proofErr w:type="gramEnd"/>
            <w:r w:rsidRPr="0049349A">
              <w:rPr>
                <w:color w:val="auto"/>
                <w:sz w:val="16"/>
                <w:szCs w:val="16"/>
              </w:rPr>
              <w:t>  evaluate the factors affecting aquatic population cycles. 12(D) TSW analyze and discuss how human activities such as fishing, transportation, dams, and recreation influence aquatic environments</w:t>
            </w:r>
          </w:p>
          <w:p w:rsidR="00A14458" w:rsidRPr="00A14458" w:rsidRDefault="00A14458" w:rsidP="00A14458">
            <w:pPr>
              <w:pStyle w:val="subparagrapha"/>
              <w:ind w:left="-6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pStyle w:val="subparagrapha"/>
              <w:ind w:left="-6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pStyle w:val="subparagrapha"/>
              <w:ind w:left="-151"/>
              <w:rPr>
                <w:sz w:val="16"/>
                <w:szCs w:val="16"/>
              </w:rPr>
            </w:pPr>
          </w:p>
          <w:p w:rsidR="00A14458" w:rsidRPr="00A14458" w:rsidRDefault="00A14458" w:rsidP="00A1445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80" w:type="dxa"/>
          </w:tcPr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  <w:r w:rsidRPr="0049349A">
              <w:rPr>
                <w:color w:val="auto"/>
                <w:sz w:val="16"/>
                <w:szCs w:val="16"/>
              </w:rPr>
              <w:t>5(A)  TSW evaluate data over a period of time from an established aquatic environment documenting seasonal changes and the behavior of organisms; 6(B) TSW examine the interrelationships between aquatic systems and climate and weather, including El Niño and La Niña, currents, and hurricanes. 11(B</w:t>
            </w:r>
            <w:proofErr w:type="gramStart"/>
            <w:r w:rsidRPr="0049349A">
              <w:rPr>
                <w:color w:val="auto"/>
                <w:sz w:val="16"/>
                <w:szCs w:val="16"/>
              </w:rPr>
              <w:t>)TSW</w:t>
            </w:r>
            <w:proofErr w:type="gramEnd"/>
            <w:r w:rsidRPr="0049349A">
              <w:rPr>
                <w:color w:val="auto"/>
                <w:sz w:val="16"/>
                <w:szCs w:val="16"/>
              </w:rPr>
              <w:t>  evaluate the factors affecting aquatic population cycles. 12(D) TSW analyze and discuss how human activities such as fishing, transportation, dams, and recreation influence aquatic environments</w:t>
            </w: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15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60" w:type="dxa"/>
          </w:tcPr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  <w:r w:rsidRPr="0049349A">
              <w:rPr>
                <w:color w:val="auto"/>
                <w:sz w:val="16"/>
                <w:szCs w:val="16"/>
              </w:rPr>
              <w:t>5(A)  TSW evaluate data over a period of time from an established aquatic environment documenting seasonal changes and the behavior of organisms; 6(B) TSW examine the interrelationships between aquatic systems and climate and weather, including El Niño and La Niña, currents, and hurricanes. 11(B</w:t>
            </w:r>
            <w:proofErr w:type="gramStart"/>
            <w:r w:rsidRPr="0049349A">
              <w:rPr>
                <w:color w:val="auto"/>
                <w:sz w:val="16"/>
                <w:szCs w:val="16"/>
              </w:rPr>
              <w:t>)TSW</w:t>
            </w:r>
            <w:proofErr w:type="gramEnd"/>
            <w:r w:rsidRPr="0049349A">
              <w:rPr>
                <w:color w:val="auto"/>
                <w:sz w:val="16"/>
                <w:szCs w:val="16"/>
              </w:rPr>
              <w:t>  evaluate the factors affecting aquatic population cycles. 12(D) TSW analyze and discuss how human activities such as fishing, transportation, dams, and recreation influence aquatic environments</w:t>
            </w: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6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pStyle w:val="subparagrapha"/>
              <w:ind w:left="-151"/>
              <w:rPr>
                <w:color w:val="auto"/>
                <w:sz w:val="16"/>
                <w:szCs w:val="16"/>
              </w:rPr>
            </w:pPr>
          </w:p>
          <w:p w:rsidR="00A14458" w:rsidRPr="0049349A" w:rsidRDefault="00A14458" w:rsidP="00A1445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A14458" w:rsidTr="00A14458">
        <w:trPr>
          <w:trHeight w:val="1447"/>
          <w:tblCellSpacing w:w="20" w:type="dxa"/>
        </w:trPr>
        <w:tc>
          <w:tcPr>
            <w:tcW w:w="1956" w:type="dxa"/>
            <w:vAlign w:val="center"/>
          </w:tcPr>
          <w:p w:rsidR="00A14458" w:rsidRDefault="00A14458" w:rsidP="00A14458">
            <w:pPr>
              <w:pStyle w:val="Heading1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Activities</w:t>
            </w:r>
          </w:p>
        </w:tc>
        <w:tc>
          <w:tcPr>
            <w:tcW w:w="2571" w:type="dxa"/>
          </w:tcPr>
          <w:p w:rsidR="00A14458" w:rsidRDefault="003A732F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Color fish Characteristics</w:t>
            </w:r>
          </w:p>
          <w:p w:rsidR="003A732F" w:rsidRDefault="003A732F" w:rsidP="003A732F">
            <w:pPr>
              <w:rPr>
                <w:rFonts w:ascii="Century" w:hAnsi="Century"/>
                <w:sz w:val="18"/>
              </w:rPr>
            </w:pPr>
          </w:p>
          <w:p w:rsidR="003A732F" w:rsidRDefault="003A732F" w:rsidP="003A732F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TEST TUESDAY</w:t>
            </w:r>
          </w:p>
          <w:p w:rsidR="003A732F" w:rsidRDefault="003A732F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381" w:type="dxa"/>
          </w:tcPr>
          <w:p w:rsidR="00A14458" w:rsidRDefault="00280411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Test</w:t>
            </w:r>
          </w:p>
        </w:tc>
        <w:tc>
          <w:tcPr>
            <w:tcW w:w="2480" w:type="dxa"/>
          </w:tcPr>
          <w:p w:rsidR="00A14458" w:rsidRDefault="00280411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Fish Color</w:t>
            </w:r>
          </w:p>
        </w:tc>
        <w:tc>
          <w:tcPr>
            <w:tcW w:w="2480" w:type="dxa"/>
          </w:tcPr>
          <w:p w:rsidR="00A14458" w:rsidRDefault="00280411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Fish Color</w:t>
            </w:r>
          </w:p>
        </w:tc>
        <w:tc>
          <w:tcPr>
            <w:tcW w:w="2460" w:type="dxa"/>
          </w:tcPr>
          <w:p w:rsidR="00A14458" w:rsidRDefault="00280411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Fish Color</w:t>
            </w:r>
          </w:p>
        </w:tc>
      </w:tr>
      <w:tr w:rsidR="00A14458" w:rsidTr="00A14458">
        <w:trPr>
          <w:trHeight w:val="628"/>
          <w:tblCellSpacing w:w="20" w:type="dxa"/>
        </w:trPr>
        <w:tc>
          <w:tcPr>
            <w:tcW w:w="1956" w:type="dxa"/>
            <w:vAlign w:val="center"/>
          </w:tcPr>
          <w:p w:rsidR="00A14458" w:rsidRDefault="00A14458" w:rsidP="00A14458">
            <w:pPr>
              <w:pStyle w:val="Heading1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</w:tc>
        <w:tc>
          <w:tcPr>
            <w:tcW w:w="257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38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TEST</w:t>
            </w:r>
          </w:p>
          <w:p w:rsidR="00A14458" w:rsidRDefault="00A14458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 xml:space="preserve"> Lab</w:t>
            </w:r>
          </w:p>
        </w:tc>
        <w:tc>
          <w:tcPr>
            <w:tcW w:w="2480" w:type="dxa"/>
          </w:tcPr>
          <w:p w:rsidR="00A14458" w:rsidRDefault="00832CBE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Exit Ticket</w:t>
            </w:r>
          </w:p>
        </w:tc>
        <w:tc>
          <w:tcPr>
            <w:tcW w:w="2480" w:type="dxa"/>
          </w:tcPr>
          <w:p w:rsidR="00A14458" w:rsidRDefault="00832CBE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Exit Ticket</w:t>
            </w:r>
          </w:p>
        </w:tc>
        <w:tc>
          <w:tcPr>
            <w:tcW w:w="2460" w:type="dxa"/>
          </w:tcPr>
          <w:p w:rsidR="00A14458" w:rsidRDefault="00832CBE" w:rsidP="00A14458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Exit Ticket</w:t>
            </w:r>
            <w:bookmarkStart w:id="0" w:name="_GoBack"/>
            <w:bookmarkEnd w:id="0"/>
          </w:p>
        </w:tc>
      </w:tr>
      <w:tr w:rsidR="00A14458" w:rsidTr="00A14458">
        <w:trPr>
          <w:trHeight w:val="1331"/>
          <w:tblCellSpacing w:w="20" w:type="dxa"/>
        </w:trPr>
        <w:tc>
          <w:tcPr>
            <w:tcW w:w="1956" w:type="dxa"/>
            <w:vAlign w:val="center"/>
          </w:tcPr>
          <w:p w:rsidR="00A14458" w:rsidRDefault="00A14458" w:rsidP="00A14458">
            <w:pPr>
              <w:pStyle w:val="Heading1"/>
              <w:framePr w:hSpace="0" w:wrap="auto" w:hAnchor="text" w:yAlign="inline"/>
              <w:rPr>
                <w:sz w:val="28"/>
              </w:rPr>
            </w:pPr>
            <w:r>
              <w:rPr>
                <w:sz w:val="28"/>
              </w:rPr>
              <w:t>Mods/Diff.</w:t>
            </w:r>
          </w:p>
        </w:tc>
        <w:tc>
          <w:tcPr>
            <w:tcW w:w="257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38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8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8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6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</w:tr>
      <w:tr w:rsidR="00A14458" w:rsidTr="00A14458">
        <w:trPr>
          <w:trHeight w:val="2222"/>
          <w:tblCellSpacing w:w="20" w:type="dxa"/>
        </w:trPr>
        <w:tc>
          <w:tcPr>
            <w:tcW w:w="1956" w:type="dxa"/>
            <w:vAlign w:val="center"/>
          </w:tcPr>
          <w:p w:rsidR="00A14458" w:rsidRPr="001102E4" w:rsidRDefault="00A14458" w:rsidP="00A14458"/>
        </w:tc>
        <w:tc>
          <w:tcPr>
            <w:tcW w:w="257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381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8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8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  <w:tc>
          <w:tcPr>
            <w:tcW w:w="2460" w:type="dxa"/>
          </w:tcPr>
          <w:p w:rsidR="00A14458" w:rsidRDefault="00A14458" w:rsidP="00A14458">
            <w:pPr>
              <w:rPr>
                <w:rFonts w:ascii="Century" w:hAnsi="Century"/>
                <w:sz w:val="18"/>
              </w:rPr>
            </w:pPr>
          </w:p>
        </w:tc>
      </w:tr>
    </w:tbl>
    <w:p w:rsidR="00460B8B" w:rsidRDefault="00460B8B">
      <w:pPr>
        <w:pStyle w:val="Header"/>
        <w:tabs>
          <w:tab w:val="clear" w:pos="4320"/>
          <w:tab w:val="clear" w:pos="8640"/>
        </w:tabs>
      </w:pPr>
    </w:p>
    <w:sectPr w:rsidR="00460B8B" w:rsidSect="00496EAC">
      <w:headerReference w:type="default" r:id="rId6"/>
      <w:pgSz w:w="15840" w:h="12240" w:orient="landscape" w:code="1"/>
      <w:pgMar w:top="720" w:right="1008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01" w:rsidRDefault="00CB4801">
      <w:r>
        <w:separator/>
      </w:r>
    </w:p>
  </w:endnote>
  <w:endnote w:type="continuationSeparator" w:id="0">
    <w:p w:rsidR="00CB4801" w:rsidRDefault="00CB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01" w:rsidRDefault="00CB4801">
      <w:r>
        <w:separator/>
      </w:r>
    </w:p>
  </w:footnote>
  <w:footnote w:type="continuationSeparator" w:id="0">
    <w:p w:rsidR="00CB4801" w:rsidRDefault="00CB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8B" w:rsidRDefault="00460B8B" w:rsidP="00024E68">
    <w:pPr>
      <w:pStyle w:val="Header"/>
      <w:tabs>
        <w:tab w:val="left" w:pos="9690"/>
      </w:tabs>
    </w:pPr>
    <w:r>
      <w:t>Name:</w:t>
    </w:r>
    <w:r w:rsidR="00024E68">
      <w:rPr>
        <w:u w:val="single"/>
      </w:rPr>
      <w:t xml:space="preserve"> F. </w:t>
    </w:r>
    <w:proofErr w:type="spellStart"/>
    <w:r w:rsidR="00024E68">
      <w:rPr>
        <w:u w:val="single"/>
      </w:rPr>
      <w:t>Treviño</w:t>
    </w:r>
    <w:proofErr w:type="spellEnd"/>
    <w:r w:rsidR="00292E58">
      <w:t xml:space="preserve">          </w:t>
    </w:r>
    <w:r w:rsidR="00024E68">
      <w:t xml:space="preserve">Week of: 8-14-2019 </w:t>
    </w:r>
    <w:r w:rsidR="00024E68">
      <w:tab/>
    </w:r>
    <w:r w:rsidR="00024E68">
      <w:tab/>
      <w:t xml:space="preserve">Rivera Early College </w:t>
    </w:r>
    <w:r>
      <w:t>High School</w:t>
    </w:r>
    <w:r w:rsidR="00024E68">
      <w:tab/>
    </w:r>
  </w:p>
  <w:p w:rsidR="00024E68" w:rsidRDefault="0002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4"/>
    <w:rsid w:val="00024E68"/>
    <w:rsid w:val="00031B23"/>
    <w:rsid w:val="001102E4"/>
    <w:rsid w:val="001418FC"/>
    <w:rsid w:val="001A45F1"/>
    <w:rsid w:val="00280411"/>
    <w:rsid w:val="00292E58"/>
    <w:rsid w:val="002B034B"/>
    <w:rsid w:val="002B33CF"/>
    <w:rsid w:val="002E12B7"/>
    <w:rsid w:val="003A61FF"/>
    <w:rsid w:val="003A732F"/>
    <w:rsid w:val="003B2EB8"/>
    <w:rsid w:val="003C31CF"/>
    <w:rsid w:val="00426B8D"/>
    <w:rsid w:val="00460B8B"/>
    <w:rsid w:val="00474E5B"/>
    <w:rsid w:val="0049349A"/>
    <w:rsid w:val="00496EAC"/>
    <w:rsid w:val="004A6738"/>
    <w:rsid w:val="004F57BE"/>
    <w:rsid w:val="005314C4"/>
    <w:rsid w:val="005C116C"/>
    <w:rsid w:val="0073049C"/>
    <w:rsid w:val="00755441"/>
    <w:rsid w:val="00832CBE"/>
    <w:rsid w:val="0085699B"/>
    <w:rsid w:val="008653F8"/>
    <w:rsid w:val="00880D31"/>
    <w:rsid w:val="00881B1B"/>
    <w:rsid w:val="008955B3"/>
    <w:rsid w:val="00913A2E"/>
    <w:rsid w:val="0095309E"/>
    <w:rsid w:val="009C256C"/>
    <w:rsid w:val="00A14458"/>
    <w:rsid w:val="00A366BB"/>
    <w:rsid w:val="00AB6EDB"/>
    <w:rsid w:val="00AD50E4"/>
    <w:rsid w:val="00AE567D"/>
    <w:rsid w:val="00B0357F"/>
    <w:rsid w:val="00B11502"/>
    <w:rsid w:val="00C3774A"/>
    <w:rsid w:val="00C700B3"/>
    <w:rsid w:val="00C8327A"/>
    <w:rsid w:val="00CB4801"/>
    <w:rsid w:val="00CD3AF3"/>
    <w:rsid w:val="00CE40EF"/>
    <w:rsid w:val="00D62159"/>
    <w:rsid w:val="00D910CC"/>
    <w:rsid w:val="00DE5EF8"/>
    <w:rsid w:val="00EB7336"/>
    <w:rsid w:val="00F27EEC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86A10-0979-40AB-B681-F34C3A04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96EAC"/>
    <w:pPr>
      <w:keepNext/>
      <w:framePr w:hSpace="180" w:wrap="notBeside" w:hAnchor="margin" w:y="561"/>
      <w:outlineLvl w:val="0"/>
    </w:pPr>
    <w:rPr>
      <w:rFonts w:ascii="Century" w:hAnsi="Century"/>
      <w:sz w:val="32"/>
      <w:szCs w:val="20"/>
    </w:rPr>
  </w:style>
  <w:style w:type="paragraph" w:styleId="Heading2">
    <w:name w:val="heading 2"/>
    <w:basedOn w:val="Normal"/>
    <w:next w:val="Normal"/>
    <w:qFormat/>
    <w:rsid w:val="00496EAC"/>
    <w:pPr>
      <w:keepNext/>
      <w:framePr w:hSpace="180" w:wrap="notBeside" w:hAnchor="margin" w:y="561"/>
      <w:jc w:val="center"/>
      <w:outlineLvl w:val="1"/>
    </w:pPr>
    <w:rPr>
      <w:rFonts w:ascii="Century" w:hAnsi="Century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6EAC"/>
    <w:pPr>
      <w:framePr w:hSpace="180" w:wrap="notBeside" w:hAnchor="margin" w:y="561"/>
    </w:pPr>
    <w:rPr>
      <w:rFonts w:ascii="Century" w:hAnsi="Century"/>
      <w:szCs w:val="20"/>
    </w:rPr>
  </w:style>
  <w:style w:type="paragraph" w:styleId="Header">
    <w:name w:val="header"/>
    <w:basedOn w:val="Normal"/>
    <w:rsid w:val="00496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EAC"/>
    <w:pPr>
      <w:tabs>
        <w:tab w:val="center" w:pos="4320"/>
        <w:tab w:val="right" w:pos="8640"/>
      </w:tabs>
    </w:pPr>
  </w:style>
  <w:style w:type="paragraph" w:customStyle="1" w:styleId="subparagrapha">
    <w:name w:val="subparagrapha"/>
    <w:basedOn w:val="Normal"/>
    <w:rsid w:val="002B33CF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China Spring High School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Sonny Cruse</dc:creator>
  <cp:lastModifiedBy>Jose Fraire</cp:lastModifiedBy>
  <cp:revision>2</cp:revision>
  <cp:lastPrinted>2004-08-04T15:20:00Z</cp:lastPrinted>
  <dcterms:created xsi:type="dcterms:W3CDTF">2019-05-30T15:19:00Z</dcterms:created>
  <dcterms:modified xsi:type="dcterms:W3CDTF">2019-05-30T15:19:00Z</dcterms:modified>
</cp:coreProperties>
</file>